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Adminsitrativa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los conceptos técnicos  sobre solicitudes  y  trámites ambientales, 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la inscripción, validación, transmisión y mantener actualizado el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 Subsistema de Información Sobre Uso de Recursos Naturales Renovables (SIUR) en lo que respecta al Registro de Generadores de  Residuos Peligrosos –Respel, RUA Manufacturero y el Inventario de Bifenilos Policlorados ante el IDEAM.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 Realizar el seguimiento y control a los usuarios del Subsistema de Información sobre uso de recursos naturales renovables (SIUR) para cumplir con la normatividad ambiental que soporta todos estos inventarios ante el IDEAM.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5. Desarrollar jornadas articuladas con los programas posconsumo de manera articulada con la comunidad y entidades.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6.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Brindar apoyo técnico a las entidades territoriales en la elaboración de proyectos en materia ambiental.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7.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Resolver las peticiones, quejas, reclamos y denuncias – PQRD que sean de competencia de la Subdirección de Gestión Ambiental de manera oportuna, eficiente y eficaz.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8. Velar por el cumplimiento de las obligaciones en las supervisiones asignadas de contratos y/o convenios interinstitucionales que sean delegados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9.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Proyectar, recomendar y  desarrollar las acciones que deban adoptarse para el logro de los objetivos y las metas de la dependencia propuestas en el Plan de Acción Institucional y/o el Plan Operativo del área de su desempeño.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10.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Suministrar a la Oficina Jurídica o a quien ésta delegue la información relacionada con los trámites ambientales que se requiera para la defensa judicial en los procesos en que sea parte la Corporación.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11.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Acompañar a la Entidad a las reuniones comités cuando sea convocado o delegado.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12.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Presentar los informes solicitados con relación a la gestión y resultados alcanzados en los planes liderados, con el fin de hacer el seguimiento y control a los compromisos de la Entidad en cumplimiento de la misión institucional.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13.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Participar en los grupos de trabajo que conforme la Entidad para la formulación y ejecución de planes tendientes a cumplir con eficacia y eficiencia la misión institucional.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 Ambiental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Subsistema de Información Sobre Uso de Recursos Naturales Renovables (SIUR)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Gestión Integral de los recursos naturales.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Redacción y Proyección de documentos técnicos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   Ingeniería Ambiental, Sanitaria y afines, Biología, Microbiología y Afines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 disciplina académica del núcleo básico del conocimiento en:    Ingeniería Ambiental, Sanitaria y afines, Biología, Microbiología y Afines 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 Profesional  en los casos requeridos por la Ley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E28D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E28DB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9hogRz/NlMWLp9UQKtIJzOVNOg==">AMUW2mVr4QFzsgLBy9dXYLLpfh/wmLGzloLmzaQnIiaNvRpDL3QYASquxKgTV3ciK7OP1dxo1VKMFsd/h2KP8+8xeNon3kit5e+/Zv9ZCaCpXJEH3rdZZcc=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2021-12-30T13:45:00Z</dcterms:created>
  <dc:creator>LizethP</dc:creator>
</cp:coreProperties>
</file>