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 </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17</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(6)</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supervisiòn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B">
            <w:pPr>
              <w:keepNext w:val="1"/>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F">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las actividades que afecten o puedan afectar el ambiente.</w:t>
            </w:r>
          </w:p>
          <w:p w:rsidR="00000000" w:rsidDel="00000000" w:rsidP="00000000" w:rsidRDefault="00000000" w:rsidRPr="00000000" w14:paraId="00000040">
            <w:pPr>
              <w:spacing w:after="0" w:lineRule="auto"/>
              <w:jc w:val="both"/>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y a otras autoridades, las medidas de policías y las sanciones prevista en la ley, en caso de violación  a las normas de protección ambiental y de manejo de recursos naturales renovables  y exigir, con sujeción a las regulaciones pertinentes, la reparación de los daños causados. </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denuncias-PQRD que sean de competencias de la Subdirección de Gestión Ambiental de manera oportuna, eficiente y eficaz.</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técnico que requieran cualquier dependencia de la Entidad que sea de soporte de la  Subdirección de Gestión Ambiental con el fin de garantizar la legalidad de las actuaciones. </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5.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6.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7. Mantener actualizados y/o entregar la información requerida por los sistemas de información internos y externos que establezca el Gobierno y la Corporación. </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8.  Suministrar a la Oficina Jurídica o a quien esta delegue la información relacionada con los trámites ambientales que se requiera para la defensa judicial en los procesos en que sean parte la Corporación.</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9. Acompañar a la Entidad a las reuniones de los concejos, juntas, comités cuando sea convocado o delegado.</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10. Participar en los grupos de trabajo que conforme la Entidad para la formulación y ejecución de planes tendientes a cumplir con eficacia y eficiencia de la misión institucional.</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F">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0">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BASICOS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4">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Constitución Política Colombia 1991. </w:t>
            </w:r>
          </w:p>
          <w:p w:rsidR="00000000" w:rsidDel="00000000" w:rsidP="00000000" w:rsidRDefault="00000000" w:rsidRPr="00000000" w14:paraId="00000055">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Contratación Estatal</w:t>
            </w:r>
          </w:p>
          <w:p w:rsidR="00000000" w:rsidDel="00000000" w:rsidP="00000000" w:rsidRDefault="00000000" w:rsidRPr="00000000" w14:paraId="00000056">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Normatividad sobre peticiones, quejas, reclamos y denuncias</w:t>
            </w:r>
          </w:p>
          <w:p w:rsidR="00000000" w:rsidDel="00000000" w:rsidP="00000000" w:rsidRDefault="00000000" w:rsidRPr="00000000" w14:paraId="00000057">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Políticas de atención al ciudadano</w:t>
            </w:r>
          </w:p>
          <w:p w:rsidR="00000000" w:rsidDel="00000000" w:rsidP="00000000" w:rsidRDefault="00000000" w:rsidRPr="00000000" w14:paraId="00000058">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Políticas publicas aplicables a la Corporación</w:t>
            </w:r>
          </w:p>
          <w:p w:rsidR="00000000" w:rsidDel="00000000" w:rsidP="00000000" w:rsidRDefault="00000000" w:rsidRPr="00000000" w14:paraId="00000059">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Canales de atención y técnicas de comunicación </w:t>
            </w:r>
          </w:p>
          <w:p w:rsidR="00000000" w:rsidDel="00000000" w:rsidP="00000000" w:rsidRDefault="00000000" w:rsidRPr="00000000" w14:paraId="0000005A">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Normatividad Ambiental</w:t>
            </w:r>
          </w:p>
          <w:p w:rsidR="00000000" w:rsidDel="00000000" w:rsidP="00000000" w:rsidRDefault="00000000" w:rsidRPr="00000000" w14:paraId="0000005B">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Vigilancia ay control y seguimiento de permisos ambientales</w:t>
            </w:r>
          </w:p>
          <w:p w:rsidR="00000000" w:rsidDel="00000000" w:rsidP="00000000" w:rsidRDefault="00000000" w:rsidRPr="00000000" w14:paraId="0000005C">
            <w:pPr>
              <w:numPr>
                <w:ilvl w:val="0"/>
                <w:numId w:val="1"/>
              </w:numP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Permisos y tramites ambientales</w:t>
            </w:r>
          </w:p>
          <w:p w:rsidR="00000000" w:rsidDel="00000000" w:rsidP="00000000" w:rsidRDefault="00000000" w:rsidRPr="00000000" w14:paraId="0000005D">
            <w:pPr>
              <w:numPr>
                <w:ilvl w:val="0"/>
                <w:numId w:val="1"/>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Régimen sancionatorio</w:t>
            </w:r>
          </w:p>
          <w:p w:rsidR="00000000" w:rsidDel="00000000" w:rsidP="00000000" w:rsidRDefault="00000000" w:rsidRPr="00000000" w14:paraId="0000005E">
            <w:pPr>
              <w:numPr>
                <w:ilvl w:val="0"/>
                <w:numId w:val="1"/>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Integral de Recursos Naturales</w:t>
            </w:r>
          </w:p>
          <w:p w:rsidR="00000000" w:rsidDel="00000000" w:rsidP="00000000" w:rsidRDefault="00000000" w:rsidRPr="00000000" w14:paraId="0000005F">
            <w:pPr>
              <w:numPr>
                <w:ilvl w:val="0"/>
                <w:numId w:val="1"/>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Redacción y proyección de documentos técnicos.</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3">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4">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3"/>
            <w:tcBorders>
              <w:top w:color="000000" w:space="0" w:sz="24" w:val="single"/>
            </w:tcBorders>
          </w:tcPr>
          <w:p w:rsidR="00000000" w:rsidDel="00000000" w:rsidP="00000000" w:rsidRDefault="00000000" w:rsidRPr="00000000" w14:paraId="0000006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rHeight w:val="1518" w:hRule="atLeast"/>
          <w:tblHeader w:val="1"/>
        </w:trPr>
        <w:tc>
          <w:tcPr>
            <w:gridSpan w:val="3"/>
            <w:tcBorders>
              <w:bottom w:color="000000" w:space="0" w:sz="24" w:val="single"/>
            </w:tcBorders>
          </w:tcPr>
          <w:p w:rsidR="00000000" w:rsidDel="00000000" w:rsidP="00000000" w:rsidRDefault="00000000" w:rsidRPr="00000000" w14:paraId="0000006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Civil y afines.</w:t>
            </w:r>
          </w:p>
          <w:p w:rsidR="00000000" w:rsidDel="00000000" w:rsidP="00000000" w:rsidRDefault="00000000" w:rsidRPr="00000000" w14:paraId="0000006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F">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7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1">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tcBorders>
              <w:bottom w:color="000000" w:space="0" w:sz="24" w:val="single"/>
            </w:tcBorders>
            <w:vAlign w:val="center"/>
          </w:tcPr>
          <w:p w:rsidR="00000000" w:rsidDel="00000000" w:rsidP="00000000" w:rsidRDefault="00000000" w:rsidRPr="00000000" w14:paraId="00000074">
            <w:pPr>
              <w:spacing w:after="0" w:lineRule="auto"/>
              <w:rPr>
                <w:rFonts w:ascii="Arial" w:cs="Arial" w:eastAsia="Arial" w:hAnsi="Arial"/>
              </w:rPr>
            </w:pPr>
            <w:r w:rsidDel="00000000" w:rsidR="00000000" w:rsidRPr="00000000">
              <w:rPr>
                <w:rFonts w:ascii="Arial" w:cs="Arial" w:eastAsia="Arial" w:hAnsi="Arial"/>
                <w:rtl w:val="0"/>
              </w:rPr>
              <w:t xml:space="preserve">Veintidós (22)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5">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A">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E">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Civil y afines y otras Ingenierías.</w:t>
            </w:r>
          </w:p>
          <w:p w:rsidR="00000000" w:rsidDel="00000000" w:rsidP="00000000" w:rsidRDefault="00000000" w:rsidRPr="00000000" w14:paraId="0000007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0">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2">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3">
            <w:pPr>
              <w:spacing w:after="0" w:lineRule="auto"/>
              <w:rPr>
                <w:rFonts w:ascii="Arial" w:cs="Arial" w:eastAsia="Arial" w:hAnsi="Arial"/>
              </w:rPr>
            </w:pPr>
            <w:r w:rsidDel="00000000" w:rsidR="00000000" w:rsidRPr="00000000">
              <w:rPr>
                <w:rFonts w:ascii="Arial" w:cs="Arial" w:eastAsia="Arial" w:hAnsi="Arial"/>
                <w:rtl w:val="0"/>
              </w:rPr>
              <w:t xml:space="preserve">Cuarenta y seis (46)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5">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6">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A">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E">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F">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90">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1">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2">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3">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4">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5">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8">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9">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A">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B">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9">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1">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2">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202929"/>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02929"/>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sEHfTAWBoH669qVupx0MKOfcEQ==">AMUW2mX1Krd0BR8dZBd26c6LkZOfMnaJpKhk7Mk1j56SfKboMYDXs+5fNXeHn2fHbzeagrPFTTYmxy74rktlBlHVUf6JSLRh60GyMT+sJnRZLbJEj4oG/e4=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2018-08-14T14:47:00Z</dcterms:created>
  <dc:creator>LizethP</dc:creator>
</cp:coreProperties>
</file>