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Directivo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SUBDIRECTOR GENERAL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0040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(01)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rHeight w:val="24" w:hRule="atLeast"/>
          <w:tblHeader w:val="0"/>
        </w:trPr>
        <w:tc>
          <w:tcPr>
            <w:gridSpan w:val="4"/>
            <w:tcBorders>
              <w:top w:color="000000" w:space="0" w:sz="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Dirigir y evaluar la formulación de políticas, planes y proyectos de educación ambiental formal e informal, participación ciudadana y responsabilidad social ambiental propendiendo por el cumplimiento de la labor misional de la Corporación.</w:t>
            </w:r>
          </w:p>
          <w:p w:rsidR="00000000" w:rsidDel="00000000" w:rsidP="00000000" w:rsidRDefault="00000000" w:rsidRPr="00000000" w14:paraId="0000003C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pStyle w:val="Heading1"/>
              <w:numPr>
                <w:ilvl w:val="0"/>
                <w:numId w:val="3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 las actividades coordinadas para la planeación, organización e implementación de acciones de educación ambiental promoviendo espacios de sensibilización, capacitación y participación con los actores sociales, acordes con las políticas nacionales y estrategias del sector y los programas correspondientes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Liderar la promoción de investigaciones ambientales, la ejecución de programas de educación ambiental y la prestación de servicios institucionales de producción de material vegetal, información ambiental, centro de documentación, y centros de educación ambiental con el fin de propiciar y facilitar la conservación, manejo sostenible y restauración de los ecosistemas forestales, acuáticos continentales, costeros y marinas, y de la biodiversidad.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Asistir en la formulación de planes, programas y proyectos de educación ambiental formal y para el desarrollo del trabajo humano, a las entidades territoriales, organizaciones no gubernamentales ambientalistas, universidades, instituciones, centros educativos y a la comunidad.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Diseñar procesos de acompañamiento, formulación y evaluación de proyectos de educación ambiental articulados con las políticas trazadas por los Ministerios de Educación y de Ambiente y Desarrollo Sostenible.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Liderar y participar en la definición y ejecución de planes y programas que orienten la </w:t>
              <w:br w:type="textWrapping"/>
              <w:t xml:space="preserve">educación ambiental y la participación ciudadana, para la conservación y aprovechamiento de los recursos bióticos y abióticos en la jurisdicción de la Corporación.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a las secretarias de educación de la jurisdicción, en el ajuste de programas de promoción ambiental y contenidos curriculares, en materia de educación ambiental.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Definir y apoyar la aplicación de mecanismos pedagógicos, para transferir información técnica a través de los programas de capacitación ambiental del Sistema Nacional Ambiental.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Proponer, diseñar e implementar mecanismos de divulgación ambiental, para generar una mayor relación comunidad — recursos naturales.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Coordinar y realizar la supervisión de los programas ambientales escolares, proyectos ciudadanos de educación y proyectos ambientales universitarios, impulsados por la entidad.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Contribuir con la elaboración y coordinación de programas operativos del área estratégica para favorecer los objetivos institucionales.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Evaluar técnica y económicamente, los proyectos presentados por los entes territoriales, instituciones, organizaciones no gubernamentales y comunidades organizadas, sobre educación ambiental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51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5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Administración de los Recursos Naturales y del Ambiente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 Nacional de Educación Ambiental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Mecanismos de participación ciudadana en la gestión ambiental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Gestión Administrativa y Políticas Públicas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Nacional de Desarrollo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Educación, Psicología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Sociología, Trabajo Social y Afines, Ingeniería Ambiental, Sanitaria y Afines, Derecho y afines, Ciencia Política, Relaciones Internacionales y Antropología.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</w:p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Cincuenta y Dos (52) meses de experiencia profesional relacionada.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tabs>
                <w:tab w:val="left" w:pos="851"/>
                <w:tab w:val="center" w:pos="2396"/>
              </w:tabs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ab/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Educación, Psicología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Sociología, Trabajo Social y Afines, Ingeniería Ambiental, Sanitaria y Afines, Derecho y afines, Ciencia Política, Relaciones Internacionales y Antropología.       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Setenta y seis (76) meses de experiencia profesional relacionada.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(Directivo):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</w:tc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Visión estratégica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efectivo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Planeación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del desarrollo de las personas 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Pensamiento sistemático</w:t>
            </w:r>
          </w:p>
        </w:tc>
      </w:tr>
    </w:tbl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D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6"/>
              <w:szCs w:val="16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4"/>
              <w:szCs w:val="14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b w:val="1"/>
              <w:color w:val="000000"/>
              <w:sz w:val="16"/>
              <w:szCs w:val="16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1282889" cy="737235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3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cs="Times New Roman" w:eastAsia="Times New Roman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V4RLhEBbgrTdkVhOJ2FwpiVYNQ==">AMUW2mWG0lWK/Cop0a4RsR150ATAXFCOOoNaJhB4wn4MSzN34CKMWLQyPbfaVIDswN7ZHiEuWr/px15dp0HPKLDjwljQO6yq18W3+dihSOQjvYRHTcodwVXteVFKaKz/uC4SWRSsxdQj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2021-12-15T16:10:00Z</dcterms:created>
  <dc:creator>LizethP</dc:creator>
</cp:coreProperties>
</file>