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2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25"/>
        <w:gridCol w:w="570"/>
        <w:gridCol w:w="11"/>
        <w:gridCol w:w="4916"/>
        <w:tblGridChange w:id="0">
          <w:tblGrid>
            <w:gridCol w:w="3725"/>
            <w:gridCol w:w="570"/>
            <w:gridCol w:w="11"/>
            <w:gridCol w:w="4916"/>
          </w:tblGrid>
        </w:tblGridChange>
      </w:tblGrid>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rHeight w:val="206" w:hRule="atLeast"/>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rHeight w:val="195" w:hRule="atLeast"/>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rHeight w:val="195" w:hRule="atLeast"/>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rHeight w:val="195" w:hRule="atLeast"/>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13</w:t>
            </w:r>
          </w:p>
        </w:tc>
      </w:tr>
      <w:tr>
        <w:trPr>
          <w:cantSplit w:val="0"/>
          <w:trHeight w:val="195" w:hRule="atLeast"/>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Nueve (9)</w:t>
            </w:r>
          </w:p>
        </w:tc>
      </w:tr>
      <w:tr>
        <w:trPr>
          <w:cantSplit w:val="0"/>
          <w:trHeight w:val="206" w:hRule="atLeast"/>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rHeight w:val="195" w:hRule="atLeast"/>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color w:val="000000"/>
              </w:rPr>
            </w:pPr>
            <w:r w:rsidDel="00000000" w:rsidR="00000000" w:rsidRPr="00000000">
              <w:rPr>
                <w:rFonts w:ascii="Arial" w:cs="Arial" w:eastAsia="Arial" w:hAnsi="Arial"/>
                <w:color w:val="000000"/>
                <w:rtl w:val="0"/>
              </w:rPr>
              <w:t xml:space="preserve">Donde se Ubique el Cargo</w:t>
            </w:r>
          </w:p>
        </w:tc>
      </w:tr>
      <w:tr>
        <w:trPr>
          <w:cantSplit w:val="0"/>
          <w:trHeight w:val="195" w:hRule="atLeast"/>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strike w:val="1"/>
                <w:color w:val="000000"/>
              </w:rPr>
            </w:pPr>
            <w:r w:rsidDel="00000000" w:rsidR="00000000" w:rsidRPr="00000000">
              <w:rPr>
                <w:rFonts w:ascii="Arial" w:cs="Arial" w:eastAsia="Arial" w:hAnsi="Arial"/>
                <w:color w:val="000000"/>
                <w:rtl w:val="0"/>
              </w:rPr>
              <w:t xml:space="preserve">Quien Ejerza la Supervisión Directa</w:t>
            </w:r>
            <w:r w:rsidDel="00000000" w:rsidR="00000000" w:rsidRPr="00000000">
              <w:rPr>
                <w:rtl w:val="0"/>
              </w:rPr>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rHeight w:val="913"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B">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rHeight w:val="3035"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3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3. Brindar apoyo técnico a las entidades territoriales en la elaboración de proyectos en materia ambiental.</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6.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7. Mantener actualizados y/o entregar la información requerida por los sistemas de información internos y externos que establezca el Gobierno y la Corporación. </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8.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9. Acompañar a la Entidad a las reuniones de los consejos, juntas, comités cuando sea convocado o delegado.</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10.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11.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12.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Fonts w:ascii="Arial" w:cs="Arial" w:eastAsia="Arial" w:hAnsi="Arial"/>
                <w:rtl w:val="0"/>
              </w:rPr>
              <w:t xml:space="preserve">13. Las demás funciones asignadas por la autoridad competente, de acuerdo con el nivel, la naturaleza y el área de desempeño del cargo. </w:t>
            </w:r>
          </w:p>
          <w:p w:rsidR="00000000" w:rsidDel="00000000" w:rsidP="00000000" w:rsidRDefault="00000000" w:rsidRPr="00000000" w14:paraId="0000004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F">
            <w:pPr>
              <w:spacing w:after="0" w:lineRule="auto"/>
              <w:rPr>
                <w:rFonts w:ascii="Arial" w:cs="Arial" w:eastAsia="Arial" w:hAnsi="Arial"/>
              </w:rPr>
            </w:pPr>
            <w:r w:rsidDel="00000000" w:rsidR="00000000" w:rsidRPr="00000000">
              <w:rPr>
                <w:rtl w:val="0"/>
              </w:rPr>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3">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4">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rHeight w:val="2458"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58">
            <w:pPr>
              <w:spacing w:after="0" w:line="240" w:lineRule="auto"/>
              <w:ind w:left="361" w:firstLine="0"/>
              <w:rPr>
                <w:rFonts w:ascii="Arial" w:cs="Arial" w:eastAsia="Arial" w:hAnsi="Arial"/>
              </w:rPr>
            </w:pPr>
            <w:r w:rsidDel="00000000" w:rsidR="00000000" w:rsidRPr="00000000">
              <w:rPr>
                <w:rtl w:val="0"/>
              </w:rPr>
            </w:r>
          </w:p>
          <w:p w:rsidR="00000000" w:rsidDel="00000000" w:rsidP="00000000" w:rsidRDefault="00000000" w:rsidRPr="00000000" w14:paraId="00000059">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A">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B">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C">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D">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E">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F">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60">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61">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2">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3">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4">
            <w:pPr>
              <w:spacing w:after="0" w:lineRule="auto"/>
              <w:ind w:left="361" w:firstLine="0"/>
              <w:rPr>
                <w:rFonts w:ascii="Arial" w:cs="Arial" w:eastAsia="Arial" w:hAnsi="Arial"/>
              </w:rPr>
            </w:pPr>
            <w:r w:rsidDel="00000000" w:rsidR="00000000" w:rsidRPr="00000000">
              <w:rPr>
                <w:rFonts w:ascii="Arial" w:cs="Arial" w:eastAsia="Arial" w:hAnsi="Arial"/>
                <w:rtl w:val="0"/>
              </w:rPr>
              <w:t xml:space="preserve">12. Redacción y Proyección de documentos técnicos</w:t>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rHeight w:val="195" w:hRule="atLeast"/>
          <w:tblHeader w:val="1"/>
        </w:trPr>
        <w:tc>
          <w:tcPr>
            <w:gridSpan w:val="3"/>
            <w:tcBorders>
              <w:top w:color="000000" w:space="0" w:sz="24" w:val="single"/>
            </w:tcBorders>
          </w:tcPr>
          <w:p w:rsidR="00000000" w:rsidDel="00000000" w:rsidP="00000000" w:rsidRDefault="00000000" w:rsidRPr="00000000" w14:paraId="0000006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2480" w:hRule="atLeast"/>
          <w:tblHeader w:val="1"/>
        </w:trPr>
        <w:tc>
          <w:tcPr>
            <w:gridSpan w:val="3"/>
            <w:tcBorders>
              <w:bottom w:color="000000" w:space="0" w:sz="2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 arquitectura y afines.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tcBorders>
              <w:bottom w:color="000000" w:space="0" w:sz="24" w:val="single"/>
            </w:tcBorders>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Diez (10) meses de experiencia profesional relacionada.</w:t>
            </w:r>
          </w:p>
        </w:tc>
      </w:tr>
      <w:tr>
        <w:trPr>
          <w:cantSplit w:val="0"/>
          <w:trHeight w:val="391" w:hRule="atLeast"/>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8">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9">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rHeight w:val="206" w:hRule="atLeast"/>
          <w:tblHeader w:val="0"/>
        </w:trPr>
        <w:tc>
          <w:tcPr>
            <w:gridSpan w:val="3"/>
            <w:tcBorders>
              <w:top w:color="000000" w:space="0" w:sz="24" w:val="single"/>
            </w:tcBorders>
          </w:tcPr>
          <w:p w:rsidR="00000000" w:rsidDel="00000000" w:rsidP="00000000" w:rsidRDefault="00000000" w:rsidRPr="00000000" w14:paraId="0000007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rHeight w:val="1512" w:hRule="atLeast"/>
          <w:tblHeader w:val="0"/>
        </w:trPr>
        <w:tc>
          <w:tcPr>
            <w:gridSpan w:val="2"/>
            <w:tcBorders>
              <w:bottom w:color="000000" w:space="0" w:sz="2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 arquitectura y afines.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gridSpan w:val="2"/>
            <w:tcBorders>
              <w:bottom w:color="000000" w:space="0" w:sz="24" w:val="single"/>
            </w:tcBorders>
            <w:vAlign w:val="center"/>
          </w:tcPr>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rtl w:val="0"/>
              </w:rPr>
              <w:t xml:space="preserve">Treinta y cuatro (34) meses de experiencia profesional relacionada.</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6">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rHeight w:val="17" w:hRule="atLeast"/>
          <w:tblHeader w:val="0"/>
        </w:trPr>
        <w:tc>
          <w:tcPr>
            <w:gridSpan w:val="3"/>
            <w:tcBorders>
              <w:top w:color="000000" w:space="0" w:sz="24" w:val="single"/>
            </w:tcBorders>
          </w:tcPr>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F">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0">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rHeight w:val="17" w:hRule="atLeast"/>
          <w:tblHeader w:val="0"/>
        </w:trPr>
        <w:tc>
          <w:tcPr>
            <w:gridSpan w:val="3"/>
            <w:tcBorders>
              <w:top w:color="000000" w:space="0" w:sz="24" w:val="single"/>
            </w:tcBorders>
          </w:tcPr>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24" w:val="single"/>
            </w:tcBorders>
          </w:tcPr>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D">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7">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rHeight w:val="233" w:hRule="atLeast"/>
        <w:tblHeader w:val="0"/>
      </w:trPr>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0">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DA4A60"/>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A4A60"/>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Yli4Xs3iYs+3c825sY9O0dbYrA==">AMUW2mUV2TCMH/pcYny0y+0cGv+TWOenvwn3hj3vPo3JAd67PbEbyMuHvX3DlxpiWlUf1FZJ7I52P4jocdw96aLC4FAz07bRnN9MXqBBcvK52pQIfmm1/iQ=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2022-01-21T23:48:00Z</dcterms:created>
  <dc:creator>LizethP</dc:creator>
</cp:coreProperties>
</file>