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Implementar las herramientas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proyectos de educación ambiental y participación comunitaria con las entidades territoriales, instituciones educativas y sectores productivos y comunitarios.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Supervisar los programas ambientales escolares, proyectos ciudadanos de educación ambiental y proyectos ambientales universitarios, impulsados por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a las entidades territoriales, instituciones educativas, sectores productivos y sectores comunitarios, en la implementación de los procesos de educación ambiental y participación comunitaria.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Desarrollar y evaluar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la promoción de alianzas estratégicas que contribuyan al fortalecimiento de educación ambiental, acorde con las normas vigentes.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Evaluar, recomendar y conceptuar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Educación ambiental y participación ciudadana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Política Nacional de Educación  Ambiental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Mecanismos de participación ciudadana en la gestión ambiental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Régimen especial de minorías étnicas 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Generación de contenidos temáticos para ser divulgados y socializados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 en el área  relacionada  en las  funciones del cargo.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osFhHrUUl30GHNgOYG9Eef8jwQ==">AMUW2mV9mcVR5tpFGG/RrzMOyqr7tdPNYqOecKGeiTPH0Hmsf9bb5pl6wd/v/BhSjpkAaKi4Hdl5IJtd35z5kKaxSNAvchUZ0/Tub3WRPznatcC1jVm+egk=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2018-09-05T16:34:00Z</dcterms:created>
  <dc:creator>LizethP</dc:creator>
</cp:coreProperties>
</file>