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actividades de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Apoyar la implementación de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Aplicar instrumentos técnicos en estudios, investigaciones y proyectos en materia de educación ambiental y participación ciudadana.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las campañas educativas ambientales realizadas.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los encuentros educativos con las entidades territoriales, organizaciones no gubernamentales ambientales y universidades, que fortalezcan los procesos de educación formal y no formal.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en los eventos de intercambio de etno educación entre los proyectos de educación ambiental que permitan generar aprendizajes pedagógicos y prácticos alrededor del tema ambiental.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las actividades de educación ambiental y participación comunitaria definidas en los proyectos ejecutados por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Atender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publicas aplicables a la Corporación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Ofimática básica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Educación ambiental y participación ciudadana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 Nacional de Educación  Ambiental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Mecanismos de participación ciudadana en la gestión ambiental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Régimen especial de minorías étnicas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Generación de contenidos temáticos para ser divulgados y socializados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tecnológica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profesional en disciplina académica del núcleo básico del conocimiento en: Psicología, Sociología, Trabajo Social y afines.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en  profesional en disciplina académica del núcleo básico del conocimiento en: Psicología, Sociología, Trabajo Social y afines.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2070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2070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V43KzNltAjCOz6GPeQCbuMEmMQ==">AMUW2mX11RDlPfFw72AmjXur3u5NDieqHVEsu2CD3GW68wDQlBsF7jPOzZ129mzWkeyvjbVKPD6qNdqVCwP05TEqRNnr8Mmn3tXcRFtgxwj4UYGxUWKwO5MluOkYJDk8KXWF8JGYdD9j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2022-01-03T14:35:00Z</dcterms:created>
  <dc:creator>LizethP</dc:creator>
</cp:coreProperties>
</file>